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Century Gothic" w:cs="Century Gothic" w:eastAsia="Century Gothic" w:hAnsi="Century Gothic"/>
          <w:b w:val="1"/>
          <w:i w:val="1"/>
          <w:color w:val="eb008b"/>
          <w:sz w:val="40"/>
          <w:szCs w:val="40"/>
        </w:rPr>
      </w:pPr>
      <w:bookmarkStart w:colFirst="0" w:colLast="0" w:name="_heading=h.upn4i71f6g9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eb008b"/>
          <w:sz w:val="40"/>
          <w:szCs w:val="40"/>
          <w:rtl w:val="0"/>
        </w:rPr>
        <w:t xml:space="preserve">SUPPORTING CONSIDERATIONS: </w:t>
        <w:br w:type="textWrapping"/>
        <w:t xml:space="preserve">RECESS/CLASSROOM PHYSICAL ACTIVITY/ ATHLETICS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  <w:rtl w:val="0"/>
        </w:rPr>
        <w:t xml:space="preserve">PREPARATION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we communicated with parents about what recess will look like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(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they have access to playgrounds,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scheduling of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etc.)?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Emphasize that it can change as the phases and community needs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have a plan for how it looks over time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and for different phases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Who and how 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 communication be updated and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disseminated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parent and community communication at the building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level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on the COVID-19 section of the schools’ website, social media, etc.)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 sure to include parental &amp; youth voice? (Ongoing two-way communication as part of the school wellness conversation-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u w:val="single"/>
            <w:rtl w:val="0"/>
          </w:rPr>
          <w:t xml:space="preserve">See Family, Student &amp; Community Engagement Document under conditions for learning on Launchne.com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Staff: What is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school's communication plan (e.g. staff meetings, departmental structure-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u w:val="single"/>
            <w:rtl w:val="0"/>
          </w:rPr>
          <w:t xml:space="preserve">See An Introduction Document under conditions for learning on Launchne.com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Afterschool programs: How will all processes and safety concerns be shared accordingly?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is 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importance of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physical activity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students' well-being and learning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shared with parents and staff?  (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See UNO and Wellbeing Partners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u w:val="single"/>
            <w:rtl w:val="0"/>
          </w:rPr>
          <w:t xml:space="preserve">Module 1: Importance of PA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and Staff Supports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teachers gain information about the proper use of brain breaks and classroom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physical activity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See UNO and Wellbeing Partners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u w:val="single"/>
            <w:rtl w:val="0"/>
          </w:rPr>
          <w:t xml:space="preserve">Modules 2-5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ensure that teachers are still getting plan time and breaks if the classrooms are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utilized for multiple purposes (e.g. PE, art, music, recess, lunch)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are we planning to meet 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taff wellness needs and opportunities for them to be physically active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  <w:rtl w:val="0"/>
        </w:rPr>
        <w:t xml:space="preserve">IMPLEMENTATION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Learning Environments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RECESS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2160" w:hanging="36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can we ensure that recess is provided?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2160" w:hanging="360"/>
        <w:rPr/>
      </w:pPr>
      <w:r w:rsidDel="00000000" w:rsidR="00000000" w:rsidRPr="00000000">
        <w:rPr>
          <w:rFonts w:ascii="Century Gothic" w:cs="Century Gothic" w:eastAsia="Century Gothic" w:hAnsi="Century Gothic"/>
          <w:color w:val="111111"/>
          <w:highlight w:val="white"/>
          <w:rtl w:val="0"/>
        </w:rPr>
        <w:t xml:space="preserve">Have we created a plan for recess that enables kids to play while meeting expectations for physical distancing?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What does play on the playground at recess look like with 6 ft. physical distance?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="276" w:lineRule="auto"/>
        <w:ind w:left="2880" w:hanging="360"/>
        <w:rPr>
          <w:rFonts w:ascii="Century Gothic" w:cs="Century Gothic" w:eastAsia="Century Gothic" w:hAnsi="Century Gothic"/>
          <w:color w:val="11111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can we utilize classrooms or additional spaces (in or outdoors) to ensure physical distancing?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76" w:lineRule="auto"/>
        <w:ind w:left="2880" w:hanging="360"/>
        <w:rPr>
          <w:rFonts w:ascii="Century Gothic" w:cs="Century Gothic" w:eastAsia="Century Gothic" w:hAnsi="Century Gothic"/>
          <w:color w:val="111111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Can we organize structured activities that promote social interaction while maintaining physical distancing?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spacing w:after="0" w:line="240" w:lineRule="auto"/>
        <w:ind w:left="288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can programs such as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 painted play spaces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be harnessed to create recess zones to space out free play?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76" w:lineRule="auto"/>
        <w:ind w:left="288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Can we coordinate with our Physical Education teacher(s) to tie into their curriculum and pre-taught skills and activities?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line="276" w:lineRule="auto"/>
        <w:ind w:left="2880" w:hanging="36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Are there students that can help plan and organize these activities?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2"/>
        </w:numPr>
        <w:spacing w:after="0" w:line="240" w:lineRule="auto"/>
        <w:ind w:left="2880" w:hanging="36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111111"/>
          <w:rtl w:val="0"/>
        </w:rPr>
        <w:t xml:space="preserve">Single class recess is fun for kids and continues to provide cognitive, social, emotional, and physical benefits to kids and teachers.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considered how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conduct indoor recess space and hold after school programs? Does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limit the use of equipment sharing and space considerations?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teachers and staff plan to manage taking turns in shared spaces and to ensure that all spaces in the building and outdoors are utilized?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trained staff and students on proper etiquette and safety for space use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for physical activity purposes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after="0" w:line="240" w:lineRule="auto"/>
        <w:ind w:left="2880" w:hanging="36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What will be used for inside recess equipment; who and how will it be sanitized between uses?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2"/>
        </w:numPr>
        <w:spacing w:after="0" w:line="240" w:lineRule="auto"/>
        <w:ind w:left="3600" w:hanging="36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What activities are available that require little to no, or disposable equipment? (e.g. </w:t>
      </w:r>
      <w:hyperlink r:id="rId12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GoNoodle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</w:t>
      </w:r>
      <w:hyperlink r:id="rId13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Sanford Fit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or </w:t>
      </w: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Sanford fitFlow Yoga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UNL Pick &amp; Play </w:t>
      </w:r>
      <w:hyperlink r:id="rId15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K-2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&amp; </w:t>
      </w:r>
      <w:hyperlink r:id="rId1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3-5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paper ball,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UNO and Wellbeing Partners </w:t>
      </w:r>
      <w:hyperlink r:id="rId17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Modules 4-5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hand sanitizer need to be utilized in more places within the buildings?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our plan for playgrounds and equipment use - cleaning, sa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nitizing and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sharing? (CDC does not 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equire disinfection, just daily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cleaning of outdoor equipment)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2"/>
        </w:numPr>
        <w:spacing w:after="0" w:line="240" w:lineRule="auto"/>
        <w:ind w:left="288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Can the playground be separated into sections by grades/classes</w:t>
      </w:r>
      <w:r w:rsidDel="00000000" w:rsidR="00000000" w:rsidRPr="00000000">
        <w:rPr>
          <w:rFonts w:ascii="Century Gothic" w:cs="Century Gothic" w:eastAsia="Century Gothic" w:hAnsi="Century Gothic"/>
          <w:color w:val="111111"/>
          <w:rtl w:val="0"/>
        </w:rPr>
        <w:t xml:space="preserve">? Zoning of playground space by class allows for physical distancing and equipment use while reducing sharing.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students be trained to effectively utilize recess zones? How will the zones be marked?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2"/>
        </w:numPr>
        <w:spacing w:after="0" w:line="240" w:lineRule="auto"/>
        <w:ind w:left="288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Will playground equipment (e.g. balls, jump ropes) be used? If so, do we have a plan for rotating equipment to limit or eliminate sharing (e.g. class bins)?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2"/>
        </w:numPr>
        <w:spacing w:after="0" w:line="240" w:lineRule="auto"/>
        <w:ind w:left="288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Can a schedule or rotation be created for zones and equipment use per 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0" w:line="240" w:lineRule="auto"/>
        <w:ind w:left="2160" w:hanging="36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Are drinking fountains accessible? Can students bring their own water bottles? What is the procedure for refilling water bottles?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after="0" w:line="240" w:lineRule="auto"/>
        <w:ind w:left="21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we have a plan for facemask use during recess?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360" w:lineRule="auto"/>
        <w:ind w:left="720" w:firstLine="0"/>
        <w:rPr>
          <w:rFonts w:ascii="Century Gothic" w:cs="Century Gothic" w:eastAsia="Century Gothic" w:hAnsi="Century Gothic"/>
          <w:b w:val="1"/>
          <w:i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4"/>
          <w:szCs w:val="24"/>
          <w:rtl w:val="0"/>
        </w:rPr>
        <w:t xml:space="preserve">CLASSROOM PHYSICAL ACTIVITY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76" w:lineRule="auto"/>
        <w:ind w:left="2160" w:hanging="36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can we ensure that classroom physical activity is provided?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line="240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How can more hands-on kinesthetic learning in classroom/afterschool programs be integrated safely?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0" w:line="240" w:lineRule="auto"/>
        <w:ind w:left="2160" w:hanging="36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Have we trained staff and students on proper etiquette and safety for space use for physical activity purposes? (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See UNO and Wellbeing Partners </w:t>
      </w:r>
      <w:hyperlink r:id="rId18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u w:val="single"/>
            <w:rtl w:val="0"/>
          </w:rPr>
          <w:t xml:space="preserve">Modules 1-5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spacing w:after="0" w:line="240" w:lineRule="auto"/>
        <w:ind w:left="2880" w:hanging="36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What activities (brain “breaks” or active learning) are available? (e.g. </w:t>
      </w:r>
      <w:hyperlink r:id="rId19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GoNoodle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</w:t>
      </w: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Sanford Fit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</w:t>
      </w:r>
      <w:hyperlink r:id="rId21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the walking classroom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</w:t>
      </w:r>
      <w:hyperlink r:id="rId22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Walkabouts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UNL Pick &amp; Play </w:t>
      </w:r>
      <w:hyperlink r:id="rId23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K-2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&amp; </w:t>
      </w:r>
      <w:hyperlink r:id="rId24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3-5</w:t>
        </w:r>
      </w:hyperlink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UNO and Wellbeing Partners </w:t>
      </w:r>
      <w:hyperlink r:id="rId25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Modules 4-5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0" w:firstLine="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360" w:lineRule="auto"/>
        <w:ind w:left="720" w:firstLine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Athletics</w:t>
      </w:r>
    </w:p>
    <w:p w:rsidR="00000000" w:rsidDel="00000000" w:rsidP="00000000" w:rsidRDefault="00000000" w:rsidRPr="00000000" w14:paraId="00000032">
      <w:pPr>
        <w:widowControl w:val="0"/>
        <w:spacing w:after="0" w:line="360" w:lineRule="auto"/>
        <w:ind w:left="72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See </w:t>
      </w:r>
      <w:hyperlink r:id="rId2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NSAA Guidelines for the Fall 2020 Season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left="288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Learning Supports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Do we have access to the required equipment for indoor recess or classroom PA (b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 screens for visual learning with speakers if sound is needed, balls, etc.)?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Has 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uidance for paraprofessionals working with students before, during and after school and on recess been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trained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over safety considerations, activity options and overall plan?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Have we planned 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pace accommodation for individuals with crutches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wheelchairs or equipment to participate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 indoor recess or physical activity?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eb008b"/>
          <w:sz w:val="32"/>
          <w:szCs w:val="32"/>
          <w:u w:val="none"/>
          <w:shd w:fill="auto" w:val="clear"/>
          <w:vertAlign w:val="baseline"/>
          <w:rtl w:val="0"/>
        </w:rPr>
        <w:t xml:space="preserve">RESOURCES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Activity/Youth Sports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DHHS Reopening Sports: </w:t>
      </w:r>
      <w:hyperlink r:id="rId2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http://dhhs.ne.gov/Documents/COVID-19-June-1-Statewide-Sports-Reopening-Guidelines.pdf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 gatherings: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https://www.cdc.gov/coronavirus/2019-ncov/downloads/Mass-Gatherings-Document_FINAL.pdf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Sports: </w:t>
      </w:r>
      <w:hyperlink r:id="rId29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https://www.cdc.gov/coronavirus/2019-ncov/community/schools-childcare/youth-sports.html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NSAA Guidance: </w:t>
      </w:r>
      <w:hyperlink r:id="rId30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https://nsaahome.org/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CDC Parks and Recreational Facilities:  </w:t>
      </w:r>
      <w:hyperlink r:id="rId31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https://www.cdc.gov/coronavirus/2019-ncov/daily-life-coping/visitors.html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Guardian Article: Prioritize Play When Schools Reopen, Say Mental Health Experts</w:t>
      </w:r>
    </w:p>
    <w:p w:rsidR="00000000" w:rsidDel="00000000" w:rsidP="00000000" w:rsidRDefault="00000000" w:rsidRPr="00000000" w14:paraId="00000044">
      <w:pPr>
        <w:spacing w:after="0" w:line="276" w:lineRule="auto"/>
        <w:ind w:left="2160" w:firstLine="0"/>
        <w:rPr>
          <w:rFonts w:ascii="Century Gothic" w:cs="Century Gothic" w:eastAsia="Century Gothic" w:hAnsi="Century Gothic"/>
        </w:rPr>
      </w:pPr>
      <w:hyperlink r:id="rId32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https://www.playworks.org/northern-california/2020/05/15/how-schools-can-approach-recess-in-the-2020-school-year/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Springboard to Active Schools: Active Classrooms Webinar </w:t>
      </w:r>
      <w:hyperlink r:id="rId33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https://schoolspringboard.org/resources/webinar-active-classrooms-101-get-up-and-moving/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Springboard to Active Schools: Painted Play Spaces for Playgrounds </w:t>
      </w:r>
      <w:hyperlink r:id="rId34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https://schoolspringboard.org/resources/webinar-increasing-active-play-at-recess-through-painted-play-spaces/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Global Recess Alliance Guidelines and Statement: </w:t>
      </w:r>
    </w:p>
    <w:p w:rsidR="00000000" w:rsidDel="00000000" w:rsidP="00000000" w:rsidRDefault="00000000" w:rsidRPr="00000000" w14:paraId="00000048">
      <w:pPr>
        <w:spacing w:after="0" w:line="276" w:lineRule="auto"/>
        <w:ind w:left="2160" w:firstLine="0"/>
        <w:rPr>
          <w:rFonts w:ascii="Century Gothic" w:cs="Century Gothic" w:eastAsia="Century Gothic" w:hAnsi="Century Gothic"/>
        </w:rPr>
      </w:pPr>
      <w:hyperlink r:id="rId35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https://globalrecessalliance.org/wp-content/plugins/pdfjs-viewer-shortcode/pdfjs/web/viewer.php?file=https://globalrecessalliance.org/wp-content/uploads/2020/07/GRA-Statement-7.14.2020.pdf&amp;dButton=false&amp;pButton=true&amp;oButton=false&amp;v=1.5.1#zoom=auto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SHAPE America Reentry guidance: </w:t>
      </w:r>
      <w:hyperlink r:id="rId3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https://issuu.com/shapeamerica/docs/school_rentry_considerations_k-12_pe-health-pa/1?ff&amp;backgroundColorFullscreen=%2363c4ee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NSAA 2020 Fall Season: </w:t>
      </w:r>
      <w:hyperlink r:id="rId37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https://nsaa-static.s3.amazonaws.com/textfile/covid/2020FallGuidance.pdf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UNO and Wellbeing Partners Classroom PA Video Series: </w:t>
      </w:r>
      <w:hyperlink r:id="rId38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https://www.thewellbeingpartners.org/change/activate-youth/classroom-physical-activity-video-series/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76" w:lineRule="auto"/>
        <w:ind w:left="216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UNL Extension Pick &amp; Play: </w:t>
      </w:r>
      <w:hyperlink r:id="rId39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K-2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&amp; </w:t>
      </w:r>
      <w:hyperlink r:id="rId4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3-5</w:t>
        </w:r>
      </w:hyperlink>
      <w:r w:rsidDel="00000000" w:rsidR="00000000" w:rsidRPr="00000000">
        <w:rPr>
          <w:rtl w:val="0"/>
        </w:rPr>
      </w:r>
    </w:p>
    <w:sectPr>
      <w:headerReference r:id="rId41" w:type="default"/>
      <w:footerReference r:id="rId42" w:type="default"/>
      <w:footerReference r:id="rId43" w:type="even"/>
      <w:pgSz w:h="15840" w:w="12240"/>
      <w:pgMar w:bottom="720" w:top="1692" w:left="720" w:right="2160" w:header="5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8dd2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8dd2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8dd2"/>
          <w:sz w:val="22"/>
          <w:szCs w:val="22"/>
          <w:u w:val="none"/>
          <w:shd w:fill="auto" w:val="clear"/>
          <w:vertAlign w:val="baseline"/>
          <w:rtl w:val="0"/>
        </w:rPr>
        <w:t xml:space="preserve">www.launchne.com</w:t>
      </w:r>
    </w:hyperlink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8dd2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0" w:line="276" w:lineRule="auto"/>
      <w:ind w:left="72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943600" cy="531495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49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49D9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427C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27CCA"/>
  </w:style>
  <w:style w:type="paragraph" w:styleId="Footer">
    <w:name w:val="footer"/>
    <w:basedOn w:val="Normal"/>
    <w:link w:val="FooterChar"/>
    <w:uiPriority w:val="99"/>
    <w:unhideWhenUsed w:val="1"/>
    <w:rsid w:val="00427C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27CCA"/>
  </w:style>
  <w:style w:type="paragraph" w:styleId="ItalicsTitle" w:customStyle="1">
    <w:name w:val="Italics Title"/>
    <w:basedOn w:val="Normal"/>
    <w:qFormat w:val="1"/>
    <w:rsid w:val="009308FE"/>
    <w:pPr>
      <w:ind w:left="720"/>
    </w:pPr>
    <w:rPr>
      <w:rFonts w:ascii="Century Gothic" w:cs="Arial" w:eastAsia="Arial" w:hAnsi="Century Gothic"/>
      <w:b w:val="1"/>
      <w:i w:val="1"/>
      <w:color w:val="eb008b"/>
      <w:sz w:val="40"/>
      <w:szCs w:val="40"/>
    </w:rPr>
  </w:style>
  <w:style w:type="paragraph" w:styleId="ItalicSubtitle" w:customStyle="1">
    <w:name w:val="Italic Subtitle"/>
    <w:basedOn w:val="Normal"/>
    <w:qFormat w:val="1"/>
    <w:rsid w:val="00492A06"/>
    <w:pPr>
      <w:widowControl w:val="0"/>
      <w:spacing w:after="0" w:line="360" w:lineRule="auto"/>
      <w:ind w:firstLine="720"/>
    </w:pPr>
    <w:rPr>
      <w:rFonts w:ascii="Century Gothic" w:cs="Arial" w:eastAsia="Arial" w:hAnsi="Century Gothic"/>
      <w:b w:val="1"/>
      <w:i w:val="1"/>
      <w:color w:val="eb008b"/>
      <w:sz w:val="32"/>
      <w:szCs w:val="32"/>
    </w:rPr>
  </w:style>
  <w:style w:type="paragraph" w:styleId="BoldSubSubTitle" w:customStyle="1">
    <w:name w:val="Bold Sub Sub Title"/>
    <w:basedOn w:val="Normal"/>
    <w:qFormat w:val="1"/>
    <w:rsid w:val="00492A06"/>
    <w:pPr>
      <w:widowControl w:val="0"/>
      <w:spacing w:after="0" w:line="360" w:lineRule="auto"/>
      <w:ind w:left="720"/>
    </w:pPr>
    <w:rPr>
      <w:rFonts w:ascii="Century Gothic" w:cs="Arial" w:eastAsia="Arial" w:hAnsi="Century Gothic"/>
      <w:b w:val="1"/>
      <w:sz w:val="24"/>
      <w:szCs w:val="24"/>
    </w:rPr>
  </w:style>
  <w:style w:type="paragraph" w:styleId="ChecklistStyle" w:customStyle="1">
    <w:name w:val="Checklist Style"/>
    <w:basedOn w:val="Normal"/>
    <w:qFormat w:val="1"/>
    <w:rsid w:val="00492A06"/>
    <w:pPr>
      <w:widowControl w:val="0"/>
      <w:numPr>
        <w:numId w:val="3"/>
      </w:numPr>
      <w:spacing w:after="0" w:line="240" w:lineRule="auto"/>
      <w:ind w:left="1440"/>
    </w:pPr>
    <w:rPr>
      <w:rFonts w:ascii="Century Gothic" w:cs="Arial" w:eastAsia="Arial" w:hAnsi="Century Gothic"/>
    </w:rPr>
  </w:style>
  <w:style w:type="paragraph" w:styleId="SecondChecklistStyle" w:customStyle="1">
    <w:name w:val="Second Checklist Style"/>
    <w:basedOn w:val="Normal"/>
    <w:qFormat w:val="1"/>
    <w:rsid w:val="00492A06"/>
    <w:pPr>
      <w:widowControl w:val="0"/>
      <w:numPr>
        <w:ilvl w:val="1"/>
        <w:numId w:val="1"/>
      </w:numPr>
      <w:spacing w:after="0" w:line="240" w:lineRule="auto"/>
    </w:pPr>
    <w:rPr>
      <w:rFonts w:ascii="Century Gothic" w:cs="Arial" w:eastAsia="Arial" w:hAnsi="Century Gothic"/>
    </w:rPr>
  </w:style>
  <w:style w:type="paragraph" w:styleId="ThirdChecklistStyle" w:customStyle="1">
    <w:name w:val="Third Checklist Style"/>
    <w:basedOn w:val="Normal"/>
    <w:qFormat w:val="1"/>
    <w:rsid w:val="008D64A0"/>
    <w:pPr>
      <w:widowControl w:val="0"/>
      <w:numPr>
        <w:ilvl w:val="2"/>
        <w:numId w:val="2"/>
      </w:numPr>
      <w:spacing w:after="0" w:line="240" w:lineRule="auto"/>
    </w:pPr>
    <w:rPr>
      <w:rFonts w:ascii="Century Gothic" w:cs="Arial" w:eastAsia="Arial" w:hAnsi="Century Gothic"/>
    </w:rPr>
  </w:style>
  <w:style w:type="character" w:styleId="Hyperlink">
    <w:name w:val="Hyperlink"/>
    <w:basedOn w:val="DefaultParagraphFont"/>
    <w:uiPriority w:val="99"/>
    <w:unhideWhenUsed w:val="1"/>
    <w:rsid w:val="009B3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B30D3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9B30D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food.unl.edu/documents/Pick%20&amp;%20Play%20NEP%203-5.pdf" TargetMode="External"/><Relationship Id="rId20" Type="http://schemas.openxmlformats.org/officeDocument/2006/relationships/hyperlink" Target="https://fit.sanfordhealth.org/educators" TargetMode="External"/><Relationship Id="rId42" Type="http://schemas.openxmlformats.org/officeDocument/2006/relationships/footer" Target="footer1.xml"/><Relationship Id="rId41" Type="http://schemas.openxmlformats.org/officeDocument/2006/relationships/header" Target="header1.xml"/><Relationship Id="rId22" Type="http://schemas.openxmlformats.org/officeDocument/2006/relationships/hyperlink" Target="http://www.activedinc.com/actived/" TargetMode="External"/><Relationship Id="rId21" Type="http://schemas.openxmlformats.org/officeDocument/2006/relationships/hyperlink" Target="https://www.thewalkingclassroom.org/" TargetMode="External"/><Relationship Id="rId43" Type="http://schemas.openxmlformats.org/officeDocument/2006/relationships/footer" Target="footer2.xml"/><Relationship Id="rId24" Type="http://schemas.openxmlformats.org/officeDocument/2006/relationships/hyperlink" Target="https://food.unl.edu/documents/Pick%20&amp;%20Play%20NEP%203-5.pdf" TargetMode="External"/><Relationship Id="rId23" Type="http://schemas.openxmlformats.org/officeDocument/2006/relationships/hyperlink" Target="https://food.unl.edu/documents/Pick%20%20Play%20NEP%20K-28.28.1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wellbeingpartners.org/change/activate-youth/classroom-physical-activity-video-series/" TargetMode="External"/><Relationship Id="rId26" Type="http://schemas.openxmlformats.org/officeDocument/2006/relationships/hyperlink" Target="https://nsaa-static.s3.amazonaws.com/textfile/covid/2020FallGuidance.pdf" TargetMode="External"/><Relationship Id="rId25" Type="http://schemas.openxmlformats.org/officeDocument/2006/relationships/hyperlink" Target="https://www.thewellbeingpartners.org/change/activate-youth/classroom-physical-activity-video-series/" TargetMode="External"/><Relationship Id="rId28" Type="http://schemas.openxmlformats.org/officeDocument/2006/relationships/hyperlink" Target="https://www.cdc.gov/coronavirus/2019-ncov/downloads/Mass-Gatherings-Document_FINAL.pdf" TargetMode="External"/><Relationship Id="rId27" Type="http://schemas.openxmlformats.org/officeDocument/2006/relationships/hyperlink" Target="http://dhhs.ne.gov/Documents/COVID-19-June-1-Statewide-Sports-Reopening-Guidelines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cdc.gov/coronavirus/2019-ncov/community/schools-childcare/youth-sports.html" TargetMode="External"/><Relationship Id="rId7" Type="http://schemas.openxmlformats.org/officeDocument/2006/relationships/hyperlink" Target="https://www.launchne.com/continuity-of-learning/instruction/district/" TargetMode="External"/><Relationship Id="rId8" Type="http://schemas.openxmlformats.org/officeDocument/2006/relationships/hyperlink" Target="https://www.launchne.com/continuity-of-learning/instruction/district/" TargetMode="External"/><Relationship Id="rId31" Type="http://schemas.openxmlformats.org/officeDocument/2006/relationships/hyperlink" Target="https://www.cdc.gov/coronavirus/2019-ncov/daily-life-coping/visitors.html" TargetMode="External"/><Relationship Id="rId30" Type="http://schemas.openxmlformats.org/officeDocument/2006/relationships/hyperlink" Target="https://nsaahome.org/" TargetMode="External"/><Relationship Id="rId11" Type="http://schemas.openxmlformats.org/officeDocument/2006/relationships/hyperlink" Target="https://schoolspringboard.org/event/increasing-active-play-at-recess-through-painted-play-spaces/" TargetMode="External"/><Relationship Id="rId33" Type="http://schemas.openxmlformats.org/officeDocument/2006/relationships/hyperlink" Target="https://schoolspringboard.org/resources/webinar-active-classrooms-101-get-up-and-moving/" TargetMode="External"/><Relationship Id="rId10" Type="http://schemas.openxmlformats.org/officeDocument/2006/relationships/hyperlink" Target="https://www.thewellbeingpartners.org/change/activate-youth/classroom-physical-activity-video-series/" TargetMode="External"/><Relationship Id="rId32" Type="http://schemas.openxmlformats.org/officeDocument/2006/relationships/hyperlink" Target="https://www.playworks.org/northern-california/2020/05/15/how-schools-can-approach-recess-in-the-2020-school-year/" TargetMode="External"/><Relationship Id="rId13" Type="http://schemas.openxmlformats.org/officeDocument/2006/relationships/hyperlink" Target="https://fit.sanfordhealth.org/resources/fitboost-activity" TargetMode="External"/><Relationship Id="rId35" Type="http://schemas.openxmlformats.org/officeDocument/2006/relationships/hyperlink" Target="https://globalrecessalliance.org/wp-content/plugins/pdfjs-viewer-shortcode/pdfjs/web/viewer.php?file=https://globalrecessalliance.org/wp-content/uploads/2020/07/GRA-Statement-7.14.2020.pdf&amp;dButton=false&amp;pButton=true&amp;oButton=false&amp;v=1.5.1#zoom=auto" TargetMode="External"/><Relationship Id="rId12" Type="http://schemas.openxmlformats.org/officeDocument/2006/relationships/hyperlink" Target="https://app.gonoodle.com/login" TargetMode="External"/><Relationship Id="rId34" Type="http://schemas.openxmlformats.org/officeDocument/2006/relationships/hyperlink" Target="https://schoolspringboard.org/resources/webinar-increasing-active-play-at-recess-through-painted-play-spaces/" TargetMode="External"/><Relationship Id="rId15" Type="http://schemas.openxmlformats.org/officeDocument/2006/relationships/hyperlink" Target="https://food.unl.edu/documents/Pick%20%20Play%20NEP%20K-28.28.12.pdf" TargetMode="External"/><Relationship Id="rId37" Type="http://schemas.openxmlformats.org/officeDocument/2006/relationships/hyperlink" Target="https://nsaa-static.s3.amazonaws.com/textfile/covid/2020FallGuidance.pdf" TargetMode="External"/><Relationship Id="rId14" Type="http://schemas.openxmlformats.org/officeDocument/2006/relationships/hyperlink" Target="https://fit.sanfordhealth.org/resources/fitflow-activity" TargetMode="External"/><Relationship Id="rId36" Type="http://schemas.openxmlformats.org/officeDocument/2006/relationships/hyperlink" Target="https://issuu.com/shapeamerica/docs/school_rentry_considerations_k-12_pe-health-pa/1?ff&amp;backgroundColorFullscreen=%2363c4ee" TargetMode="External"/><Relationship Id="rId17" Type="http://schemas.openxmlformats.org/officeDocument/2006/relationships/hyperlink" Target="https://www.thewellbeingpartners.org/change/activate-youth/classroom-physical-activity-video-series/" TargetMode="External"/><Relationship Id="rId39" Type="http://schemas.openxmlformats.org/officeDocument/2006/relationships/hyperlink" Target="https://food.unl.edu/documents/Pick%20%20Play%20NEP%20K-28.28.12.pdf" TargetMode="External"/><Relationship Id="rId16" Type="http://schemas.openxmlformats.org/officeDocument/2006/relationships/hyperlink" Target="https://food.unl.edu/documents/Pick%20&amp;%20Play%20NEP%203-5.pdf" TargetMode="External"/><Relationship Id="rId38" Type="http://schemas.openxmlformats.org/officeDocument/2006/relationships/hyperlink" Target="https://www.thewellbeingpartners.org/change/activate-youth/classroom-physical-activity-video-series/" TargetMode="External"/><Relationship Id="rId19" Type="http://schemas.openxmlformats.org/officeDocument/2006/relationships/hyperlink" Target="https://app.gonoodle.com/login" TargetMode="External"/><Relationship Id="rId18" Type="http://schemas.openxmlformats.org/officeDocument/2006/relationships/hyperlink" Target="https://www.thewellbeingpartners.org/change/activate-youth/classroom-physical-activity-video-seri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aunchn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JQwMjgvmeqR3De+r30RUw16FQ==">AMUW2mV+wbBs31SpzahYbpl16xhdaLNl8ap9i2SjcTASkGA3+n0esRqlxncu9NhbwG3hsP/KWgV48IjfDbrS9zegxLzkOJYgMu170QCrlSdPYxvJkg/lIZQpGuwCxMDhX8HQdYrcULOH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2020-06-18T17:40:00Z</dcterms:created>
  <dc:creator>Zainab Rida</dc:creator>
</cp:coreProperties>
</file>